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EF090" w14:textId="77777777" w:rsidR="0079154A" w:rsidRPr="0079154A" w:rsidRDefault="0079154A" w:rsidP="0079154A">
      <w:pPr>
        <w:keepNext/>
        <w:keepLines/>
        <w:numPr>
          <w:ilvl w:val="2"/>
          <w:numId w:val="0"/>
        </w:numPr>
        <w:spacing w:before="240" w:after="60"/>
        <w:ind w:left="993" w:hanging="993"/>
        <w:jc w:val="both"/>
        <w:outlineLvl w:val="2"/>
        <w:rPr>
          <w:rFonts w:ascii="Calibri Light" w:eastAsia="Times New Roman" w:hAnsi="Calibri Light" w:cs="Times New Roman"/>
          <w:kern w:val="0"/>
          <w:sz w:val="24"/>
          <w:szCs w:val="24"/>
          <w14:ligatures w14:val="none"/>
        </w:rPr>
      </w:pPr>
      <w:bookmarkStart w:id="0" w:name="_Toc84262181"/>
      <w:bookmarkStart w:id="1" w:name="_Toc85803492"/>
      <w:r w:rsidRPr="0079154A">
        <w:rPr>
          <w:rFonts w:ascii="Calibri Light" w:eastAsia="Times New Roman" w:hAnsi="Calibri Light" w:cs="Times New Roman"/>
          <w:kern w:val="0"/>
          <w:sz w:val="24"/>
          <w:szCs w:val="24"/>
          <w14:ligatures w14:val="none"/>
        </w:rPr>
        <w:t>RCO 67 - Χωρητικότητα τάξεων νέων ή εκσυγχρονισμένων εκπαιδευτικών εγκαταστάσεων</w:t>
      </w:r>
      <w:bookmarkEnd w:id="0"/>
      <w:bookmarkEnd w:id="1"/>
    </w:p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890"/>
        <w:gridCol w:w="5608"/>
      </w:tblGrid>
      <w:tr w:rsidR="0079154A" w:rsidRPr="0079154A" w14:paraId="5BCF9B5B" w14:textId="77777777" w:rsidTr="00B26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bottom w:val="single" w:sz="12" w:space="0" w:color="8064A2"/>
            </w:tcBorders>
            <w:noWrap/>
            <w:hideMark/>
          </w:tcPr>
          <w:p w14:paraId="37FF989C" w14:textId="77777777" w:rsidR="0079154A" w:rsidRPr="0079154A" w:rsidRDefault="0079154A" w:rsidP="0079154A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79154A">
              <w:rPr>
                <w:rFonts w:cs="Calibri"/>
              </w:rPr>
              <w:t>Αρ</w:t>
            </w:r>
            <w:proofErr w:type="spellEnd"/>
            <w:r w:rsidRPr="0079154A">
              <w:rPr>
                <w:rFonts w:cs="Calibri"/>
              </w:rPr>
              <w:t>. γραμμής</w:t>
            </w:r>
          </w:p>
        </w:tc>
        <w:tc>
          <w:tcPr>
            <w:tcW w:w="1139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638E5968" w14:textId="77777777" w:rsidR="0079154A" w:rsidRPr="0079154A" w:rsidRDefault="0079154A" w:rsidP="0079154A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14:paraId="6708E895" w14:textId="77777777" w:rsidR="0079154A" w:rsidRPr="0079154A" w:rsidRDefault="0079154A" w:rsidP="0079154A">
            <w:pPr>
              <w:keepNext/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79154A">
              <w:rPr>
                <w:rFonts w:cs="Calibri"/>
              </w:rPr>
              <w:t>Μεταδεδομένα</w:t>
            </w:r>
            <w:proofErr w:type="spellEnd"/>
            <w:r w:rsidRPr="0079154A">
              <w:rPr>
                <w:rFonts w:cs="Calibri"/>
              </w:rPr>
              <w:t xml:space="preserve"> δείκτη</w:t>
            </w:r>
          </w:p>
        </w:tc>
      </w:tr>
      <w:tr w:rsidR="0079154A" w:rsidRPr="0079154A" w14:paraId="73AE334B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</w:tcBorders>
            <w:noWrap/>
          </w:tcPr>
          <w:p w14:paraId="4687DC3B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</w:tcBorders>
            <w:noWrap/>
          </w:tcPr>
          <w:p w14:paraId="6518AC08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14:paraId="7E8C9E9F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color w:val="000000"/>
              </w:rPr>
              <w:t>ΕΤΠΑ, ΤΔΜ</w:t>
            </w:r>
          </w:p>
        </w:tc>
      </w:tr>
      <w:tr w:rsidR="0079154A" w:rsidRPr="0079154A" w14:paraId="343B0CAD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CF2B60F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063F5A5C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79154A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477A271B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79154A">
              <w:rPr>
                <w:b/>
                <w:noProof/>
                <w:color w:val="000000"/>
              </w:rPr>
              <w:t>RCO67</w:t>
            </w:r>
          </w:p>
        </w:tc>
      </w:tr>
      <w:tr w:rsidR="0079154A" w:rsidRPr="0079154A" w14:paraId="20B319AB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86228D4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48C54101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79154A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14:paraId="525BA418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79154A">
              <w:rPr>
                <w:b/>
                <w:noProof/>
                <w:color w:val="000000"/>
              </w:rPr>
              <w:t>Χωρητικότητα τάξεων νέων ή εκσυγχρονισμένων εκπαιδευτικών εγκαταστάσεων</w:t>
            </w:r>
          </w:p>
        </w:tc>
      </w:tr>
      <w:tr w:rsidR="0079154A" w:rsidRPr="0079154A" w14:paraId="75B6B989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11EC6CA5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3610C045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3BACF819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79154A">
              <w:rPr>
                <w:noProof/>
                <w:color w:val="000000"/>
                <w:lang w:val="en-US"/>
              </w:rPr>
              <w:t>RCO67 Education: Classroom capacity of education facilities</w:t>
            </w:r>
          </w:p>
        </w:tc>
      </w:tr>
      <w:tr w:rsidR="0079154A" w:rsidRPr="0079154A" w14:paraId="57B3BC90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DF8B088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489943AC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3AC5F779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Άτομα</w:t>
            </w:r>
          </w:p>
        </w:tc>
      </w:tr>
      <w:tr w:rsidR="0079154A" w:rsidRPr="0079154A" w14:paraId="667966A8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555D7D3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694588A0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14:paraId="2B974D33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εκροοών</w:t>
            </w:r>
          </w:p>
        </w:tc>
      </w:tr>
      <w:tr w:rsidR="0079154A" w:rsidRPr="0079154A" w14:paraId="4D29F927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A641FA9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4E1F6E0F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14:paraId="26CE2339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0</w:t>
            </w:r>
          </w:p>
        </w:tc>
      </w:tr>
      <w:tr w:rsidR="0079154A" w:rsidRPr="0079154A" w14:paraId="05E7F9A1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E4836E4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136EADFC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14:paraId="18155844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  <w:noProof/>
                <w:color w:val="000000"/>
              </w:rPr>
              <w:t>≥</w:t>
            </w:r>
            <w:r w:rsidRPr="0079154A">
              <w:rPr>
                <w:noProof/>
                <w:color w:val="000000"/>
              </w:rPr>
              <w:t>0</w:t>
            </w:r>
          </w:p>
        </w:tc>
      </w:tr>
      <w:tr w:rsidR="0079154A" w:rsidRPr="0079154A" w14:paraId="55E03244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F604F8F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1CD8F206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49C9982F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&gt;0</w:t>
            </w:r>
          </w:p>
        </w:tc>
      </w:tr>
      <w:tr w:rsidR="0079154A" w:rsidRPr="0079154A" w14:paraId="4B3DD3E6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4F549D3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211DE571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12F7E5F6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Σ.Π. 4 Κοινωνική Ευρώπη και στο πλαίσιο του ΤΔΜ</w:t>
            </w:r>
          </w:p>
        </w:tc>
      </w:tr>
      <w:tr w:rsidR="0079154A" w:rsidRPr="0079154A" w14:paraId="0B2837F9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DF70DFA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29DFE71E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0DB245B0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Ε.Σ. 4.</w:t>
            </w:r>
            <w:r w:rsidRPr="0079154A">
              <w:rPr>
                <w:noProof/>
                <w:color w:val="000000"/>
                <w:lang w:val="en-US"/>
              </w:rPr>
              <w:t>ii</w:t>
            </w:r>
            <w:r w:rsidRPr="0079154A">
              <w:rPr>
                <w:noProof/>
                <w:color w:val="000000"/>
              </w:rPr>
              <w:t xml:space="preserve"> Υποδομή εκπαίδευσης και κατάρτισης και στο πλαίσιο του ΤΔΜ</w:t>
            </w:r>
          </w:p>
        </w:tc>
      </w:tr>
      <w:tr w:rsidR="0079154A" w:rsidRPr="0079154A" w14:paraId="5D732D08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0F8066E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661B5B90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42948698" w14:textId="77777777" w:rsidR="0079154A" w:rsidRPr="0079154A" w:rsidRDefault="0079154A" w:rsidP="0079154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79154A">
              <w:rPr>
                <w:rFonts w:cs="Corbel"/>
                <w:color w:val="000000"/>
                <w:lang w:eastAsia="en-IE"/>
              </w:rPr>
              <w:t>Χωρητικότητα (δυναμικότητα) των τάξεων σε όρους μέγιστου αριθμού μαθητών/φοιτητών που μπορούν να εγγραφούν και να χρησιμοποιήσουν τις εκπαιδευτικές εγκαταστάσεις. Στην  δυναμικότητα των τάξεων δεν πρέπει να υπολογίζονται οι εκπαιδευτικοί, οι γονείς, το βοηθητικό προσωπικό ή άλλα άτομα που μπορεί να χρησιμοποιούν επίσης τις εγκαταστάσεις.</w:t>
            </w:r>
          </w:p>
          <w:p w14:paraId="56FC428B" w14:textId="77777777" w:rsidR="0079154A" w:rsidRPr="0079154A" w:rsidRDefault="0079154A" w:rsidP="0079154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r w:rsidRPr="0079154A">
              <w:rPr>
                <w:rFonts w:cs="Corbel"/>
                <w:color w:val="000000"/>
                <w:lang w:eastAsia="en-IE"/>
              </w:rPr>
              <w:t xml:space="preserve">Οι εκπαιδευτικές εγκαταστάσεις, όπως </w:t>
            </w:r>
            <w:ins w:id="2" w:author="Θανάσης Κεφαλάς" w:date="2021-10-14T12:39:00Z">
              <w:r w:rsidRPr="0079154A">
                <w:rPr>
                  <w:rFonts w:cs="Corbel"/>
                  <w:color w:val="000000"/>
                  <w:lang w:eastAsia="en-IE"/>
                </w:rPr>
                <w:t>νηπιαγωγεία,</w:t>
              </w:r>
            </w:ins>
            <w:r w:rsidRPr="0079154A">
              <w:rPr>
                <w:rFonts w:cs="Corbel"/>
                <w:color w:val="000000"/>
                <w:lang w:eastAsia="en-IE"/>
              </w:rPr>
              <w:t xml:space="preserve"> σχολεία και πανεπιστήμια, μπορούν να είναι νέες ή εκσυγχρονισμένες. Ο δείκτης δεν χρησιμοποιείται για παρεμβάσεις ενεργειακής αναβάθμιση ή συντήρησης και επισκευών.</w:t>
            </w:r>
          </w:p>
          <w:p w14:paraId="2691B9B8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n-IE"/>
              </w:rPr>
            </w:pPr>
            <w:bookmarkStart w:id="3" w:name="_Hlk83851078"/>
            <w:r w:rsidRPr="0079154A">
              <w:rPr>
                <w:rFonts w:cs="Corbel"/>
                <w:color w:val="000000"/>
                <w:lang w:eastAsia="en-IE"/>
              </w:rPr>
              <w:t xml:space="preserve">Στις νέες και εκσυγχρονισμένες εγκαταστάσεις περιλαμβάνονται ενδεικτικά υποδομές και εξοπλισμός εκπαίδευσης και επαγγελματικής κατάρτισης, ψηφιακός εξοπλισμός και εφαρμογές ηλεκτρονικής μάθησης, τεχνολογίες και εφαρμογές παρακολούθησης </w:t>
            </w:r>
            <w:proofErr w:type="spellStart"/>
            <w:r w:rsidRPr="0079154A">
              <w:rPr>
                <w:rFonts w:cs="Corbel"/>
                <w:color w:val="000000"/>
                <w:lang w:eastAsia="en-IE"/>
              </w:rPr>
              <w:t>απασχολησιμότητας</w:t>
            </w:r>
            <w:proofErr w:type="spellEnd"/>
            <w:r w:rsidRPr="0079154A">
              <w:rPr>
                <w:rFonts w:cs="Corbel"/>
                <w:color w:val="000000"/>
                <w:lang w:eastAsia="en-IE"/>
              </w:rPr>
              <w:t xml:space="preserve"> των αποφοίτων, σύγχρονος εξοπλισμός προώθησης της πρακτικής άσκησης κοκ.  </w:t>
            </w:r>
          </w:p>
          <w:bookmarkEnd w:id="3"/>
          <w:p w14:paraId="3F8E9EE9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orbel"/>
                <w:color w:val="000000"/>
                <w:lang w:eastAsia="en-IE"/>
              </w:rPr>
              <w:t>Ο δείκτης καλύπτει τη χωρητικότητα των αιθουσών διδασκαλίας και των βοηθητικών εγκαταστάσεων, όπως αίθουσες εργαστηρίων/ εκδηλώσεων, γυμναστήρια, κυλικεία κοκ, αλλά δεν καλύπτει τις εξωτερικές εγκαταστάσεις, τους τυχόν χώρους διαμονής και τα μέσα μεταφοράς μαθητών/ σπουδαστών.</w:t>
            </w:r>
          </w:p>
        </w:tc>
      </w:tr>
      <w:tr w:rsidR="0079154A" w:rsidRPr="0079154A" w14:paraId="504E7CA1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6936453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7F7C8483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66F496EA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Υποστηριζόμενα έργα</w:t>
            </w:r>
          </w:p>
        </w:tc>
      </w:tr>
      <w:tr w:rsidR="0079154A" w:rsidRPr="0079154A" w14:paraId="72083037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E0FFC5C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76514763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272C8572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Με την ολοκλήρωση των εκροών του υποστηριζόμενου έργου</w:t>
            </w:r>
          </w:p>
        </w:tc>
      </w:tr>
      <w:tr w:rsidR="0079154A" w:rsidRPr="0079154A" w14:paraId="4116E1F3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F2EAAF6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7C61784E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Άθροιση</w:t>
            </w:r>
          </w:p>
        </w:tc>
        <w:tc>
          <w:tcPr>
            <w:tcW w:w="3380" w:type="pct"/>
            <w:vAlign w:val="center"/>
          </w:tcPr>
          <w:p w14:paraId="4251397A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  <w:color w:val="000000"/>
                <w:lang w:eastAsia="el-GR"/>
              </w:rPr>
              <w:t>Η διπλή μέτρηση πρέπει να αφαιρείται στο επίπεδο του ειδικού στόχου.</w:t>
            </w:r>
          </w:p>
        </w:tc>
      </w:tr>
      <w:tr w:rsidR="0079154A" w:rsidRPr="0079154A" w14:paraId="45E6E47D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5E6FEF2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lastRenderedPageBreak/>
              <w:t>14</w:t>
            </w:r>
          </w:p>
        </w:tc>
        <w:tc>
          <w:tcPr>
            <w:tcW w:w="1139" w:type="pct"/>
            <w:noWrap/>
            <w:hideMark/>
          </w:tcPr>
          <w:p w14:paraId="29CF5153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116F949A" w14:textId="77777777" w:rsidR="0079154A" w:rsidRPr="0079154A" w:rsidRDefault="0079154A" w:rsidP="0079154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79154A">
              <w:rPr>
                <w:noProof/>
                <w:color w:val="000000"/>
              </w:rPr>
              <w:t>Κανόνας 1: Αναφορές ανά ειδικό στόχο</w:t>
            </w:r>
          </w:p>
          <w:p w14:paraId="00A49B4F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Εκτιμήσεις για τις τιμές στόχου των ενταγμένων έργων και επιτευχθείσες τιμές, σωρευτικά και για τις δύο, μέχρι τον χρόνο αναφοράς (παράρτημα VII του ΚΚΔ, πίνακας 5).</w:t>
            </w:r>
          </w:p>
        </w:tc>
      </w:tr>
      <w:tr w:rsidR="0079154A" w:rsidRPr="0079154A" w14:paraId="5841096D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5D8717E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1B86CB2A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14:paraId="1D2CBC50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79154A" w:rsidRPr="0079154A" w14:paraId="0D4EB4D5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13758F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4F91DC6B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79154A">
              <w:rPr>
                <w:rFonts w:cs="Calibri"/>
              </w:rPr>
              <w:t>Συσχετιζόμενος</w:t>
            </w:r>
            <w:proofErr w:type="spellEnd"/>
            <w:r w:rsidRPr="0079154A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79154A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14:paraId="29C1DD2C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noProof/>
                <w:color w:val="000000"/>
              </w:rPr>
              <w:t>CCO18 - Νέα ή εκσυγχρονισμένη ικανότητα για εγκαταστάσεις φροντίδας παιδιών και εκπαίδευσης</w:t>
            </w:r>
          </w:p>
        </w:tc>
      </w:tr>
      <w:tr w:rsidR="0079154A" w:rsidRPr="0079154A" w14:paraId="24626C71" w14:textId="77777777" w:rsidTr="00B2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F7C0CAC" w14:textId="77777777" w:rsidR="0079154A" w:rsidRPr="0079154A" w:rsidRDefault="0079154A" w:rsidP="0079154A">
            <w:pPr>
              <w:spacing w:before="60" w:after="60"/>
              <w:jc w:val="center"/>
              <w:rPr>
                <w:rFonts w:cs="Calibri"/>
              </w:rPr>
            </w:pPr>
            <w:r w:rsidRPr="0079154A">
              <w:rPr>
                <w:rFonts w:cs="Calibri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74FEEC49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9154A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14:paraId="72BBA97F" w14:textId="77777777" w:rsidR="0079154A" w:rsidRPr="0079154A" w:rsidRDefault="0079154A" w:rsidP="0079154A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14:paraId="6EE6F5E7" w14:textId="77777777" w:rsidR="0079154A" w:rsidRPr="0079154A" w:rsidRDefault="0079154A" w:rsidP="0079154A">
      <w:pPr>
        <w:jc w:val="both"/>
        <w:rPr>
          <w:rFonts w:ascii="Calibri" w:eastAsia="Times New Roman" w:hAnsi="Calibri" w:cs="Times New Roman"/>
          <w:kern w:val="0"/>
          <w14:ligatures w14:val="none"/>
        </w:rPr>
      </w:pPr>
    </w:p>
    <w:p w14:paraId="4A311334" w14:textId="77777777" w:rsidR="006701B1" w:rsidRDefault="006701B1"/>
    <w:sectPr w:rsidR="006701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C49"/>
    <w:rsid w:val="002F7DD2"/>
    <w:rsid w:val="006701B1"/>
    <w:rsid w:val="0079154A"/>
    <w:rsid w:val="00B92C49"/>
    <w:rsid w:val="00E1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5354A"/>
  <w15:chartTrackingRefBased/>
  <w15:docId w15:val="{962ABEAF-CEEA-445C-86B8-8434D236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92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92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92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92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92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92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92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92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92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92C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92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92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92C4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92C4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92C4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92C4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92C4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92C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92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92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92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92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92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92C4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92C4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92C4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92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92C4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92C49"/>
    <w:rPr>
      <w:b/>
      <w:bCs/>
      <w:smallCaps/>
      <w:color w:val="0F4761" w:themeColor="accent1" w:themeShade="BF"/>
      <w:spacing w:val="5"/>
    </w:rPr>
  </w:style>
  <w:style w:type="table" w:customStyle="1" w:styleId="Style1">
    <w:name w:val="Style1"/>
    <w:basedOn w:val="a1"/>
    <w:uiPriority w:val="99"/>
    <w:rsid w:val="0079154A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ΖΟΥΡΟΥ ΕΙΡΗΝΗ</dc:creator>
  <cp:keywords/>
  <dc:description/>
  <cp:lastModifiedBy>ΖΟΥΡΟΥ ΕΙΡΗΝΗ</cp:lastModifiedBy>
  <cp:revision>2</cp:revision>
  <dcterms:created xsi:type="dcterms:W3CDTF">2024-07-19T07:03:00Z</dcterms:created>
  <dcterms:modified xsi:type="dcterms:W3CDTF">2024-07-19T07:03:00Z</dcterms:modified>
</cp:coreProperties>
</file>