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A128C" w14:textId="77777777" w:rsidR="00457748" w:rsidRPr="00A302F0" w:rsidRDefault="00457748" w:rsidP="00457748">
      <w:pPr>
        <w:pStyle w:val="3"/>
      </w:pPr>
      <w:bookmarkStart w:id="0" w:name="_Toc99952630"/>
      <w:bookmarkStart w:id="1" w:name="_Toc100656032"/>
      <w:r w:rsidRPr="00DF3FC6">
        <w:t>PSO904</w:t>
      </w:r>
      <w:r w:rsidRPr="008E6E08">
        <w:t xml:space="preserve"> - </w:t>
      </w:r>
      <w:r w:rsidRPr="004C4658">
        <w:t>Επιφάνεια αντιπλημμυρικών έργων μη γειτνιαζόντων με υδάτινο περιβάλλον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457748" w:rsidRPr="001A2A76" w14:paraId="2B101333" w14:textId="77777777" w:rsidTr="00AC2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66C666DD" w14:textId="77777777" w:rsidR="00457748" w:rsidRPr="005F28E1" w:rsidRDefault="00457748" w:rsidP="00AC2602">
            <w:pPr>
              <w:spacing w:before="60" w:after="60" w:line="240" w:lineRule="auto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64651C9A" w14:textId="77777777" w:rsidR="00457748" w:rsidRPr="009B6C0E" w:rsidRDefault="00457748" w:rsidP="00AC2602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16072481" w14:textId="77777777" w:rsidR="00457748" w:rsidRPr="009B6C0E" w:rsidRDefault="00457748" w:rsidP="00AC2602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Δείκτη</w:t>
            </w:r>
          </w:p>
        </w:tc>
      </w:tr>
      <w:tr w:rsidR="00457748" w:rsidRPr="001A2A76" w14:paraId="799BCFB4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22BD570F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54C19185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20F88890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ΕΤΠΑ, ΤΣ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, ΤΔΜ</w:t>
            </w: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457748" w:rsidRPr="001A2A76" w14:paraId="620F7BCD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97C32F6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5CBBE9E5" w14:textId="77777777" w:rsidR="00457748" w:rsidRPr="005F28E1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3008F0ED" w14:textId="77777777" w:rsidR="00457748" w:rsidRPr="00597DE2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F3FC6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PS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  <w:t>O</w:t>
            </w:r>
            <w:r w:rsidRPr="00DF3FC6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90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  <w:t>4</w:t>
            </w:r>
          </w:p>
        </w:tc>
      </w:tr>
      <w:tr w:rsidR="00457748" w:rsidRPr="001A2A76" w14:paraId="63172856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70D6129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275514C6" w14:textId="77777777" w:rsidR="00457748" w:rsidRPr="005F28E1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060AB039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4C4658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Επιφάνεια αντιπλημμυρικών έργων μη γειτνιαζόντων με υδάτινο περιβάλλον</w:t>
            </w:r>
          </w:p>
        </w:tc>
      </w:tr>
      <w:tr w:rsidR="00457748" w:rsidRPr="00667AAD" w14:paraId="1A344D4A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0A735CD6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06BD3F4F" w14:textId="77777777" w:rsidR="00457748" w:rsidRPr="00D16381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16381">
              <w:rPr>
                <w:rFonts w:cstheme="minorHAnsi"/>
                <w:color w:val="000000"/>
                <w:sz w:val="20"/>
                <w:szCs w:val="2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25326AB4" w14:textId="6CA69A87" w:rsidR="00457748" w:rsidRPr="001C16F3" w:rsidDel="005C100D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457748" w:rsidRPr="001A2A76" w14:paraId="219F73C1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385D7D0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20B52ECA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61D0C842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Τετραγωνικά </w:t>
            </w:r>
            <w:r w:rsidRPr="008054DF">
              <w:rPr>
                <w:rFonts w:cstheme="minorHAnsi"/>
                <w:color w:val="000000"/>
                <w:sz w:val="20"/>
                <w:szCs w:val="20"/>
                <w:lang w:eastAsia="el-GR"/>
              </w:rPr>
              <w:t>Χιλιόμετρα</w:t>
            </w:r>
          </w:p>
        </w:tc>
      </w:tr>
      <w:tr w:rsidR="00457748" w:rsidRPr="001A2A76" w14:paraId="40ECDFD5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D287C8A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153EBAA3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228AC679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Εκροών</w:t>
            </w:r>
          </w:p>
        </w:tc>
      </w:tr>
      <w:tr w:rsidR="00457748" w:rsidRPr="001A2A76" w14:paraId="41C05E2B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A53B9FB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5912B696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3DF3819E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color w:val="000000"/>
                <w:sz w:val="20"/>
                <w:szCs w:val="20"/>
                <w:lang w:eastAsia="el-GR"/>
              </w:rPr>
              <w:t>0</w:t>
            </w:r>
          </w:p>
        </w:tc>
      </w:tr>
      <w:tr w:rsidR="00457748" w:rsidRPr="001A2A76" w14:paraId="7BF68A9B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BE97450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161FC8A1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5C60785E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&gt;=0</w:t>
            </w:r>
          </w:p>
        </w:tc>
      </w:tr>
      <w:tr w:rsidR="00457748" w:rsidRPr="001A2A76" w14:paraId="11B3FB0F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C30620E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272E95C5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41346282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&gt;0</w:t>
            </w:r>
          </w:p>
        </w:tc>
      </w:tr>
      <w:tr w:rsidR="00457748" w:rsidRPr="001A2A76" w14:paraId="2090ED9E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0B31C28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324BFCBB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  <w:hideMark/>
          </w:tcPr>
          <w:p w14:paraId="282B4F60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sz w:val="20"/>
                <w:szCs w:val="20"/>
              </w:rPr>
              <w:t>Σ.Π. 2 Πιο Πράσινη Ευρώπη</w:t>
            </w:r>
            <w:r>
              <w:rPr>
                <w:sz w:val="20"/>
                <w:szCs w:val="20"/>
              </w:rPr>
              <w:t xml:space="preserve"> </w:t>
            </w:r>
            <w:r w:rsidRPr="00047A24">
              <w:rPr>
                <w:rFonts w:cstheme="minorHAnsi"/>
                <w:color w:val="000000"/>
                <w:sz w:val="20"/>
                <w:szCs w:val="20"/>
                <w:lang w:eastAsia="el-GR"/>
              </w:rPr>
              <w:t>και στο πλαίσιο του ΤΔΜ</w:t>
            </w:r>
          </w:p>
        </w:tc>
      </w:tr>
      <w:tr w:rsidR="00457748" w:rsidRPr="001A2A76" w14:paraId="47E5F5A4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2F894C5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4570499E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  <w:hideMark/>
          </w:tcPr>
          <w:p w14:paraId="7FC51C91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sz w:val="20"/>
                <w:szCs w:val="20"/>
              </w:rPr>
              <w:t xml:space="preserve">RSO2.4 Προσαρμογή στην κλιματική αλλαγή </w:t>
            </w:r>
            <w:r w:rsidRPr="00047A24">
              <w:rPr>
                <w:rFonts w:cstheme="minorHAnsi"/>
                <w:color w:val="000000"/>
                <w:sz w:val="20"/>
                <w:szCs w:val="20"/>
                <w:lang w:eastAsia="el-GR"/>
              </w:rPr>
              <w:t>και στο πλαίσιο του ΤΔΜ</w:t>
            </w:r>
          </w:p>
        </w:tc>
      </w:tr>
      <w:tr w:rsidR="00457748" w:rsidRPr="001A2A76" w14:paraId="075F6BE1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C0D5DEE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07D96D00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3B373DF1" w14:textId="77777777" w:rsidR="00457748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Έκταση περιοχών που καλύπτονται από έργα προστασίας έναντι των πλημμυρών. Οι υποδομές προστασίας που υποστηρίζονται πρέπει να είναι νέες κατασκευασμένες ή υφιστάμενα έργα που </w:t>
            </w:r>
            <w:r w:rsidRPr="007A7BC4">
              <w:rPr>
                <w:rFonts w:cstheme="minorHAnsi"/>
                <w:color w:val="000000"/>
                <w:sz w:val="20"/>
                <w:szCs w:val="20"/>
                <w:lang w:eastAsia="el-GR"/>
              </w:rPr>
              <w:t>βελτι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ώνονται</w:t>
            </w:r>
            <w:r w:rsidRPr="007A7BC4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σημαντικά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.</w:t>
            </w:r>
          </w:p>
          <w:p w14:paraId="51500F15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004538">
              <w:rPr>
                <w:rFonts w:cstheme="minorHAnsi"/>
                <w:color w:val="000000"/>
                <w:sz w:val="20"/>
                <w:szCs w:val="20"/>
                <w:lang w:eastAsia="el-GR"/>
              </w:rPr>
              <w:t>Ο δείκτης καλύπτει αντιπλημμυρικά έργα που δεν γίνονται σε όχθες ποταμών/ακτές/λίμνες κτλ.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, τα οποία</w:t>
            </w:r>
            <w:r w:rsidRPr="00004538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δεν μπορούν να 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μετρηθούν</w:t>
            </w:r>
            <w:r w:rsidRPr="00004538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με </w:t>
            </w:r>
            <w:r w:rsidRPr="00004538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τον 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κοινό δείκτη εκροών </w:t>
            </w:r>
            <w:r w:rsidRPr="00004538">
              <w:rPr>
                <w:rFonts w:cstheme="minorHAnsi"/>
                <w:color w:val="000000"/>
                <w:sz w:val="20"/>
                <w:szCs w:val="20"/>
                <w:lang w:eastAsia="el-GR"/>
              </w:rPr>
              <w:t>RCO25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«</w:t>
            </w:r>
            <w:r w:rsidRPr="004C4658">
              <w:rPr>
                <w:rFonts w:cstheme="minorHAnsi"/>
                <w:color w:val="000000"/>
                <w:sz w:val="20"/>
                <w:szCs w:val="20"/>
                <w:lang w:eastAsia="el-GR"/>
              </w:rPr>
              <w:t>Αντιπλημμυρικά έργα σε ακτές, όχθες ποταμών και λιμνών που κατασκευάστηκαν ή ενισχύθηκαν πρόσφατα</w:t>
            </w: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».</w:t>
            </w:r>
          </w:p>
        </w:tc>
      </w:tr>
      <w:tr w:rsidR="00457748" w:rsidRPr="001A2A76" w14:paraId="1007E225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2BA42A5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6E9B9EB6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6324A62C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color w:val="000000"/>
                <w:sz w:val="20"/>
                <w:szCs w:val="20"/>
                <w:lang w:eastAsia="el-GR"/>
              </w:rPr>
              <w:t>Υποστηριζόμενα έργα</w:t>
            </w:r>
          </w:p>
        </w:tc>
      </w:tr>
      <w:tr w:rsidR="00457748" w:rsidRPr="001A2A76" w14:paraId="5C771DF5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97B5818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2BEF6278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19A14F97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457748" w:rsidRPr="001A2A76" w14:paraId="60528F87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0C5327E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082EFA99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0D506580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1F18C5">
              <w:rPr>
                <w:rFonts w:cstheme="minorHAnsi"/>
                <w:color w:val="000000"/>
                <w:sz w:val="20"/>
                <w:szCs w:val="20"/>
                <w:lang w:eastAsia="el-GR"/>
              </w:rPr>
              <w:t>Η διπλή μέτρηση πρέπει να αφαιρείται στο επίπεδο του ειδικού στόχου.</w:t>
            </w:r>
          </w:p>
        </w:tc>
      </w:tr>
      <w:tr w:rsidR="00457748" w:rsidRPr="001A2A76" w14:paraId="0B4998D5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A591871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270B7E32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7EF50127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>Κανόνας 1: Αναφορές ανά ειδικό στόχο</w:t>
            </w:r>
          </w:p>
          <w:p w14:paraId="183A2FD4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8054DF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>Πρόβλεψη για σωρευτικές τιμές στόχου και επίτευξης από ενταγμένα</w:t>
            </w:r>
            <w:r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8054DF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>έργα, έως το έτος αναφοράς (παράρτημα VII του ΚΚΔ, πίνακας 5).</w:t>
            </w:r>
          </w:p>
        </w:tc>
      </w:tr>
      <w:tr w:rsidR="00457748" w:rsidRPr="001A2A76" w14:paraId="0914A240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78DB6D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14:paraId="3486B958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2F812928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457748" w:rsidRPr="001A2A76" w14:paraId="466676A0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7A125FF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7C3BA30A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  <w:proofErr w:type="spellStart"/>
            <w:r w:rsidRPr="008054DF">
              <w:rPr>
                <w:rFonts w:cstheme="minorHAnsi"/>
                <w:sz w:val="20"/>
                <w:szCs w:val="20"/>
                <w:lang w:eastAsia="el-GR"/>
              </w:rPr>
              <w:t>Συσχετιζόμενος</w:t>
            </w:r>
            <w:proofErr w:type="spellEnd"/>
            <w:r w:rsidRPr="008054DF">
              <w:rPr>
                <w:rFonts w:cstheme="minorHAnsi"/>
                <w:sz w:val="20"/>
                <w:szCs w:val="20"/>
                <w:lang w:eastAsia="el-GR"/>
              </w:rPr>
              <w:t xml:space="preserve"> δείκτης προς χρήση από την Επιτροπή με βάση το Παράρτημα </w:t>
            </w:r>
            <w:r w:rsidRPr="008054DF">
              <w:rPr>
                <w:rFonts w:cstheme="minorHAnsi"/>
                <w:sz w:val="20"/>
                <w:szCs w:val="20"/>
                <w:lang w:eastAsia="el-GR"/>
              </w:rPr>
              <w:lastRenderedPageBreak/>
              <w:t>ΙΙ του Καν. ΕΤΠΑ και ΤΣ</w:t>
            </w:r>
          </w:p>
        </w:tc>
        <w:tc>
          <w:tcPr>
            <w:tcW w:w="3374" w:type="pct"/>
            <w:noWrap/>
          </w:tcPr>
          <w:p w14:paraId="16EABD22" w14:textId="77777777" w:rsidR="00457748" w:rsidRPr="008054DF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</w:p>
        </w:tc>
      </w:tr>
      <w:tr w:rsidR="00457748" w:rsidRPr="001A2A76" w14:paraId="568F2CA1" w14:textId="77777777" w:rsidTr="00AC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3E1B795" w14:textId="77777777" w:rsidR="00457748" w:rsidRPr="005F28E1" w:rsidRDefault="00457748" w:rsidP="00AC2602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654CB8B3" w14:textId="77777777" w:rsidR="00457748" w:rsidRPr="009B6C0E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4B56A89B" w14:textId="77777777" w:rsidR="00457748" w:rsidRPr="004270D5" w:rsidRDefault="00457748" w:rsidP="00AC2602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4DB01306" w14:textId="77777777" w:rsidR="00457748" w:rsidRDefault="00457748" w:rsidP="00457748"/>
    <w:tbl>
      <w:tblPr>
        <w:tblStyle w:val="1-1"/>
        <w:tblW w:w="5000" w:type="pct"/>
        <w:tblLook w:val="0620" w:firstRow="1" w:lastRow="0" w:firstColumn="0" w:lastColumn="0" w:noHBand="1" w:noVBand="1"/>
      </w:tblPr>
      <w:tblGrid>
        <w:gridCol w:w="2572"/>
        <w:gridCol w:w="5724"/>
      </w:tblGrid>
      <w:tr w:rsidR="00457748" w:rsidRPr="00A9458B" w14:paraId="3976A8E7" w14:textId="77777777" w:rsidTr="00AC2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0" w:type="pct"/>
          </w:tcPr>
          <w:p w14:paraId="76D6B4A7" w14:textId="77777777" w:rsidR="00457748" w:rsidRPr="00A9458B" w:rsidRDefault="00457748" w:rsidP="00AC2602">
            <w:pPr>
              <w:keepNext/>
              <w:spacing w:before="60" w:after="60"/>
              <w:jc w:val="center"/>
              <w:rPr>
                <w:b w:val="0"/>
                <w:bCs w:val="0"/>
                <w:sz w:val="20"/>
                <w:szCs w:val="20"/>
              </w:rPr>
            </w:pPr>
            <w:r w:rsidRPr="00A9458B">
              <w:rPr>
                <w:sz w:val="20"/>
                <w:szCs w:val="20"/>
              </w:rPr>
              <w:t>Κριτήριο RACER</w:t>
            </w:r>
          </w:p>
        </w:tc>
        <w:tc>
          <w:tcPr>
            <w:tcW w:w="3450" w:type="pct"/>
          </w:tcPr>
          <w:p w14:paraId="25DD64F4" w14:textId="77777777" w:rsidR="00457748" w:rsidRPr="00A9458B" w:rsidRDefault="00457748" w:rsidP="00AC2602">
            <w:pPr>
              <w:keepNext/>
              <w:spacing w:before="60" w:after="60"/>
              <w:ind w:left="106"/>
              <w:jc w:val="left"/>
              <w:rPr>
                <w:sz w:val="20"/>
                <w:szCs w:val="20"/>
              </w:rPr>
            </w:pPr>
            <w:r w:rsidRPr="00A9458B">
              <w:rPr>
                <w:sz w:val="20"/>
                <w:szCs w:val="20"/>
              </w:rPr>
              <w:t>Τεκμηρίωση κάλυψης κριτηρίου</w:t>
            </w:r>
          </w:p>
        </w:tc>
      </w:tr>
      <w:tr w:rsidR="00457748" w:rsidRPr="009034B9" w14:paraId="45BE65EC" w14:textId="77777777" w:rsidTr="00AC2602">
        <w:tc>
          <w:tcPr>
            <w:tcW w:w="1550" w:type="pct"/>
          </w:tcPr>
          <w:p w14:paraId="183A6B9B" w14:textId="77777777" w:rsidR="00457748" w:rsidRPr="00A9458B" w:rsidRDefault="00457748" w:rsidP="00AC2602">
            <w:pPr>
              <w:spacing w:before="60" w:after="60"/>
              <w:rPr>
                <w:b/>
                <w:bCs/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Συναφής</w:t>
            </w:r>
          </w:p>
          <w:p w14:paraId="143EC9F1" w14:textId="77777777" w:rsidR="00457748" w:rsidRPr="00A9458B" w:rsidRDefault="00457748" w:rsidP="00AC2602">
            <w:pPr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Υπάρχει ισχυρός συσχετισμός με τον στόχο που επιδιώκει να επιτύχει το πρόγραμμα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</w:rPr>
              <w:t xml:space="preserve"> 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/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</w:rPr>
              <w:t xml:space="preserve"> </w:t>
            </w: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πολιτική;</w:t>
            </w:r>
          </w:p>
        </w:tc>
        <w:tc>
          <w:tcPr>
            <w:tcW w:w="3450" w:type="pct"/>
            <w:vAlign w:val="center"/>
          </w:tcPr>
          <w:p w14:paraId="47D5D19B" w14:textId="77777777" w:rsidR="00457748" w:rsidRDefault="00457748" w:rsidP="00AC2602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Ο δείκτης έ</w:t>
            </w:r>
            <w:r w:rsidRPr="009034B9">
              <w:rPr>
                <w:sz w:val="20"/>
                <w:szCs w:val="20"/>
              </w:rPr>
              <w:t xml:space="preserve">χει μεγάλη συνάφεια και συνδέεται στενά με τους επιδιωκόμενους στόχους </w:t>
            </w:r>
            <w:r>
              <w:rPr>
                <w:sz w:val="20"/>
                <w:szCs w:val="20"/>
              </w:rPr>
              <w:t>και τη λογική παρέμβασης που αφορούν στην</w:t>
            </w:r>
            <w:r w:rsidRPr="009034B9">
              <w:rPr>
                <w:sz w:val="20"/>
                <w:szCs w:val="20"/>
              </w:rPr>
              <w:t xml:space="preserve"> κατασκευή νέων ή </w:t>
            </w:r>
            <w:r>
              <w:rPr>
                <w:sz w:val="20"/>
                <w:szCs w:val="20"/>
              </w:rPr>
              <w:t xml:space="preserve">τη </w:t>
            </w:r>
            <w:r w:rsidRPr="009034B9">
              <w:rPr>
                <w:sz w:val="20"/>
                <w:szCs w:val="20"/>
              </w:rPr>
              <w:t>βελτίωση υφιστάμενων υποδομών προστασίας έναντι των πλημμυρών</w:t>
            </w:r>
            <w:r>
              <w:rPr>
                <w:sz w:val="20"/>
                <w:szCs w:val="20"/>
              </w:rPr>
              <w:t xml:space="preserve">, οι οποίες </w:t>
            </w:r>
            <w:r w:rsidRPr="009034B9">
              <w:rPr>
                <w:sz w:val="20"/>
                <w:szCs w:val="20"/>
              </w:rPr>
              <w:t>δεν γειτνιάζουν με υδάτινο περιβάλλον</w:t>
            </w:r>
            <w:r>
              <w:rPr>
                <w:sz w:val="20"/>
                <w:szCs w:val="20"/>
              </w:rPr>
              <w:t xml:space="preserve">, </w:t>
            </w:r>
            <w:r w:rsidRPr="009034B9">
              <w:rPr>
                <w:sz w:val="20"/>
                <w:szCs w:val="20"/>
              </w:rPr>
              <w:t>καθώς μετρά την έκταση των περιοχών που προστατεύονται από τις συγκεκριμένες υποδομές.</w:t>
            </w:r>
          </w:p>
          <w:p w14:paraId="70D703D8" w14:textId="77777777" w:rsidR="00457748" w:rsidRPr="006B3024" w:rsidRDefault="00457748" w:rsidP="00AC2602">
            <w:pPr>
              <w:spacing w:before="60" w:after="60"/>
              <w:rPr>
                <w:sz w:val="20"/>
                <w:szCs w:val="20"/>
              </w:rPr>
            </w:pPr>
            <w:r w:rsidRPr="006B3024">
              <w:rPr>
                <w:sz w:val="20"/>
                <w:szCs w:val="20"/>
              </w:rPr>
              <w:t>Ο δείκτης συνδέεται άμεσα με τον κοινό δείκτη αποτελεσμάτων RCR 35 «Πληθυσμός που ωφελείται από αντιπλημμυρικά μέτρα», υπηρετώντας τη λογική της παρέμβασης.</w:t>
            </w:r>
          </w:p>
          <w:p w14:paraId="03BB5BD3" w14:textId="77777777" w:rsidR="00457748" w:rsidRPr="009034B9" w:rsidRDefault="00457748" w:rsidP="00AC2602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296E09">
              <w:rPr>
                <w:bCs/>
                <w:i/>
                <w:iCs/>
                <w:sz w:val="20"/>
                <w:szCs w:val="20"/>
                <w:highlight w:val="lightGray"/>
              </w:rPr>
              <w:t>[Η ΔΑ θα πρέπει να εξειδικεύσει περαιτέρω τη λογική της παρέμβασης].</w:t>
            </w:r>
          </w:p>
        </w:tc>
      </w:tr>
      <w:tr w:rsidR="00457748" w:rsidRPr="009034B9" w14:paraId="1EABB942" w14:textId="77777777" w:rsidTr="00AC2602">
        <w:tc>
          <w:tcPr>
            <w:tcW w:w="1550" w:type="pct"/>
          </w:tcPr>
          <w:p w14:paraId="3458F862" w14:textId="77777777" w:rsidR="00457748" w:rsidRPr="00A9458B" w:rsidRDefault="00457748" w:rsidP="00AC2602">
            <w:pPr>
              <w:spacing w:before="60" w:after="60"/>
              <w:rPr>
                <w:b/>
                <w:bCs/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Αποδεκτός</w:t>
            </w:r>
          </w:p>
          <w:p w14:paraId="543DA5C9" w14:textId="77777777" w:rsidR="00457748" w:rsidRPr="00A9458B" w:rsidRDefault="00457748" w:rsidP="00AC2602">
            <w:pPr>
              <w:jc w:val="left"/>
              <w:rPr>
                <w:i/>
                <w:iCs/>
                <w:sz w:val="20"/>
                <w:szCs w:val="20"/>
                <w:lang w:val="el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Μπορεί να γίνει εύκολα κατανοητός και αποδεκτός από όλα τα ενδιαφερόμενα μέρη;</w:t>
            </w:r>
          </w:p>
        </w:tc>
        <w:tc>
          <w:tcPr>
            <w:tcW w:w="3450" w:type="pct"/>
            <w:vAlign w:val="center"/>
          </w:tcPr>
          <w:p w14:paraId="5C0DF638" w14:textId="77777777" w:rsidR="00457748" w:rsidRPr="009034B9" w:rsidRDefault="00457748" w:rsidP="00AC2602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9034B9">
              <w:rPr>
                <w:sz w:val="20"/>
                <w:szCs w:val="20"/>
                <w:lang w:val="el"/>
              </w:rPr>
              <w:t xml:space="preserve">Ο </w:t>
            </w:r>
            <w:r w:rsidRPr="009034B9">
              <w:rPr>
                <w:sz w:val="20"/>
                <w:szCs w:val="20"/>
              </w:rPr>
              <w:t>δείκτης είναι εύκολα κατανοητός και αποδεκτός, τόσο από τους Δικαιούχους, όσο και από τη Διαχειριστική Αρχή, καθώς αποδίδει με άμεσο τρόπο το αντικείμενο της παρέμβασης</w:t>
            </w:r>
            <w:r w:rsidRPr="009034B9">
              <w:rPr>
                <w:sz w:val="20"/>
                <w:szCs w:val="20"/>
                <w:lang w:val="el"/>
              </w:rPr>
              <w:t>.</w:t>
            </w:r>
          </w:p>
        </w:tc>
      </w:tr>
      <w:tr w:rsidR="00457748" w:rsidRPr="009034B9" w14:paraId="476C253D" w14:textId="77777777" w:rsidTr="00AC2602">
        <w:tc>
          <w:tcPr>
            <w:tcW w:w="1550" w:type="pct"/>
          </w:tcPr>
          <w:p w14:paraId="3CEED691" w14:textId="77777777" w:rsidR="00457748" w:rsidRPr="00A9458B" w:rsidRDefault="00457748" w:rsidP="00AC2602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Αξιόπιστος</w:t>
            </w:r>
          </w:p>
          <w:p w14:paraId="31AA5E5B" w14:textId="77777777" w:rsidR="00457748" w:rsidRPr="00A9458B" w:rsidRDefault="00457748" w:rsidP="00AC2602">
            <w:pPr>
              <w:jc w:val="left"/>
              <w:rPr>
                <w:b/>
                <w:bCs/>
                <w:sz w:val="20"/>
                <w:szCs w:val="20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 xml:space="preserve">Είναι εύληπτος σε μη ειδικούς, ξεκάθαρος και εύκολα </w:t>
            </w:r>
            <w:proofErr w:type="spellStart"/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ερμηνευόμενος</w:t>
            </w:r>
            <w:proofErr w:type="spellEnd"/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;</w:t>
            </w:r>
          </w:p>
        </w:tc>
        <w:tc>
          <w:tcPr>
            <w:tcW w:w="3450" w:type="pct"/>
            <w:vAlign w:val="center"/>
          </w:tcPr>
          <w:p w14:paraId="6FF28F30" w14:textId="77777777" w:rsidR="00457748" w:rsidRPr="009034B9" w:rsidRDefault="00457748" w:rsidP="00AC2602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143D0C">
              <w:rPr>
                <w:sz w:val="20"/>
                <w:szCs w:val="20"/>
                <w:lang w:val="el"/>
              </w:rPr>
              <w:t>Ο δείκτης αποδίδει με σαφήνεια το αντικείμενο της μέτρησης και είναι εύληπτος, καθώς δεν επιδέχεται παρερμηνείας από τους φορείς που θα τον χρησιμοποιήσουν.</w:t>
            </w:r>
            <w:r>
              <w:rPr>
                <w:sz w:val="20"/>
                <w:szCs w:val="20"/>
                <w:lang w:val="el"/>
              </w:rPr>
              <w:t xml:space="preserve"> </w:t>
            </w:r>
            <w:proofErr w:type="spellStart"/>
            <w:r w:rsidRPr="009034B9">
              <w:rPr>
                <w:sz w:val="20"/>
                <w:szCs w:val="20"/>
                <w:lang w:val="el"/>
              </w:rPr>
              <w:t>Ποσοτικοποιεί</w:t>
            </w:r>
            <w:proofErr w:type="spellEnd"/>
            <w:r w:rsidRPr="009034B9">
              <w:rPr>
                <w:sz w:val="20"/>
                <w:szCs w:val="20"/>
                <w:lang w:val="el"/>
              </w:rPr>
              <w:t xml:space="preserve"> αξιόπιστα τις αναμενόμενες εκροές, ως προς την έκταση των περιοχών που προστατεύονται από αντιπλημμυρικά έργα που δεν γειτνιάζουν με υδάτινο περιβάλλον</w:t>
            </w:r>
            <w:r>
              <w:rPr>
                <w:sz w:val="20"/>
                <w:szCs w:val="20"/>
                <w:lang w:val="el"/>
              </w:rPr>
              <w:t>, συμβάλλοντας στην επιτυχή υπηρέτηση της λογικής της παρέμβασης.</w:t>
            </w:r>
          </w:p>
        </w:tc>
      </w:tr>
      <w:tr w:rsidR="00457748" w:rsidRPr="009034B9" w14:paraId="712F3FBE" w14:textId="77777777" w:rsidTr="00AC2602">
        <w:tc>
          <w:tcPr>
            <w:tcW w:w="1550" w:type="pct"/>
          </w:tcPr>
          <w:p w14:paraId="1ADD784B" w14:textId="77777777" w:rsidR="00457748" w:rsidRPr="00A9458B" w:rsidRDefault="00457748" w:rsidP="00AC2602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Εύκολος</w:t>
            </w:r>
          </w:p>
          <w:p w14:paraId="3D5C94A3" w14:textId="77777777" w:rsidR="00457748" w:rsidRPr="00A9458B" w:rsidRDefault="00457748" w:rsidP="00AC2602">
            <w:pPr>
              <w:jc w:val="left"/>
              <w:rPr>
                <w:b/>
                <w:bCs/>
                <w:sz w:val="20"/>
                <w:szCs w:val="20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Είναι εφικτή η παρακολούθηση και η συλλογή δεδομένων με λογικό κόστος;</w:t>
            </w:r>
          </w:p>
        </w:tc>
        <w:tc>
          <w:tcPr>
            <w:tcW w:w="3450" w:type="pct"/>
            <w:vAlign w:val="center"/>
          </w:tcPr>
          <w:p w14:paraId="23BEFE51" w14:textId="77777777" w:rsidR="00457748" w:rsidRPr="009034B9" w:rsidRDefault="00457748" w:rsidP="00AC2602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9034B9">
              <w:rPr>
                <w:sz w:val="20"/>
                <w:szCs w:val="20"/>
                <w:lang w:val="el"/>
              </w:rPr>
              <w:t xml:space="preserve">Η παρακολούθηση και η συλλογή δεδομένων είναι εφικτή και εύκολη, δεδομένου ότι η μέτρησή του θα γίνεται </w:t>
            </w:r>
            <w:r>
              <w:rPr>
                <w:sz w:val="20"/>
                <w:szCs w:val="20"/>
                <w:lang w:val="el"/>
              </w:rPr>
              <w:t xml:space="preserve">με βάση τα στοιχεία των Δικαιούχων και τις σχετικές τεχνικές μελέτες. </w:t>
            </w:r>
            <w:r w:rsidRPr="00143D0C">
              <w:rPr>
                <w:sz w:val="20"/>
                <w:szCs w:val="20"/>
                <w:lang w:val="el"/>
              </w:rPr>
              <w:t>Η ευκολία συλλογής των δεδομένων επιτρέπει τη συγκέντρωση τους με λογικό κόστος, καθώς δεν απαιτούνται ειδικές μελέτες ή έρευνες για το σκοπό αυτό.</w:t>
            </w:r>
          </w:p>
        </w:tc>
      </w:tr>
      <w:tr w:rsidR="00457748" w:rsidRPr="009034B9" w14:paraId="2D3974C3" w14:textId="77777777" w:rsidTr="00AC2602">
        <w:tc>
          <w:tcPr>
            <w:tcW w:w="1550" w:type="pct"/>
          </w:tcPr>
          <w:p w14:paraId="3CAD3F74" w14:textId="77777777" w:rsidR="00457748" w:rsidRPr="00A9458B" w:rsidRDefault="00457748" w:rsidP="00AC2602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A9458B">
              <w:rPr>
                <w:b/>
                <w:bCs/>
                <w:sz w:val="20"/>
                <w:szCs w:val="20"/>
                <w:lang w:val="el"/>
              </w:rPr>
              <w:t>Ισχυρός</w:t>
            </w:r>
          </w:p>
          <w:p w14:paraId="5D68207A" w14:textId="77777777" w:rsidR="00457748" w:rsidRPr="00A9458B" w:rsidRDefault="00457748" w:rsidP="00AC2602">
            <w:pPr>
              <w:jc w:val="left"/>
              <w:rPr>
                <w:b/>
                <w:bCs/>
                <w:sz w:val="20"/>
                <w:szCs w:val="20"/>
                <w:lang w:val="el"/>
              </w:rPr>
            </w:pPr>
            <w:r w:rsidRPr="00A9458B">
              <w:rPr>
                <w:i/>
                <w:iCs/>
                <w:color w:val="4EA72E" w:themeColor="accent6"/>
                <w:sz w:val="20"/>
                <w:szCs w:val="20"/>
                <w:lang w:val="el"/>
              </w:rPr>
              <w:t>Είναι αρκετά ευαίσθητος ώστε να παρακολουθεί τις αλλαγές αλλά να μην υπόκειται σε χειραγώγηση ή κατάχρηση;</w:t>
            </w:r>
          </w:p>
        </w:tc>
        <w:tc>
          <w:tcPr>
            <w:tcW w:w="3450" w:type="pct"/>
            <w:vAlign w:val="center"/>
          </w:tcPr>
          <w:p w14:paraId="7EB2D244" w14:textId="77777777" w:rsidR="00457748" w:rsidRPr="009034B9" w:rsidRDefault="00457748" w:rsidP="00AC2602">
            <w:pPr>
              <w:spacing w:before="60" w:after="60"/>
              <w:rPr>
                <w:sz w:val="20"/>
                <w:szCs w:val="20"/>
                <w:lang w:val="el"/>
              </w:rPr>
            </w:pPr>
            <w:r w:rsidRPr="00143D0C">
              <w:rPr>
                <w:sz w:val="20"/>
                <w:szCs w:val="20"/>
                <w:lang w:val="el"/>
              </w:rPr>
              <w:t>Ο δείκτης είναι ευαίσθητος στις αλλαγές, καθώς παρακολουθεί την προοδευτική αύξηση</w:t>
            </w:r>
            <w:r>
              <w:rPr>
                <w:sz w:val="20"/>
                <w:szCs w:val="20"/>
                <w:lang w:val="el"/>
              </w:rPr>
              <w:t xml:space="preserve"> της έκτασης των </w:t>
            </w:r>
            <w:r w:rsidRPr="00143D0C">
              <w:rPr>
                <w:sz w:val="20"/>
                <w:szCs w:val="20"/>
                <w:lang w:val="el"/>
              </w:rPr>
              <w:t>περιοχών που καλύπτονται από έργα προστασίας έναντι των πλημμυρών, τα οποία δεν γειτνιάζουν με υδάτινο περιβάλλον</w:t>
            </w:r>
            <w:r>
              <w:rPr>
                <w:sz w:val="20"/>
                <w:szCs w:val="20"/>
                <w:lang w:val="el"/>
              </w:rPr>
              <w:t>, στο πλαίσιο υλοποίησης των υποστηριζόμενων έργων. Ο δείκτης δεν</w:t>
            </w:r>
            <w:r w:rsidRPr="009034B9">
              <w:rPr>
                <w:sz w:val="20"/>
                <w:szCs w:val="20"/>
                <w:lang w:val="el"/>
              </w:rPr>
              <w:t xml:space="preserve"> επιδέχεται χειραγώγησης ή κατάχρησης, καθώς </w:t>
            </w:r>
            <w:r w:rsidRPr="006A5866">
              <w:rPr>
                <w:sz w:val="20"/>
                <w:szCs w:val="20"/>
                <w:lang w:val="el"/>
              </w:rPr>
              <w:t xml:space="preserve">συνδέεται άμεσα με τις υλοποιούμενες παρεμβάσεις </w:t>
            </w:r>
            <w:r>
              <w:rPr>
                <w:sz w:val="20"/>
                <w:szCs w:val="20"/>
                <w:lang w:val="el"/>
              </w:rPr>
              <w:t xml:space="preserve">και </w:t>
            </w:r>
            <w:r w:rsidRPr="009034B9">
              <w:rPr>
                <w:sz w:val="20"/>
                <w:szCs w:val="20"/>
                <w:lang w:val="el"/>
              </w:rPr>
              <w:t xml:space="preserve">μετράει </w:t>
            </w:r>
            <w:r>
              <w:rPr>
                <w:sz w:val="20"/>
                <w:szCs w:val="20"/>
                <w:lang w:val="el"/>
              </w:rPr>
              <w:t xml:space="preserve">με αμεσότητα </w:t>
            </w:r>
            <w:r w:rsidRPr="009034B9">
              <w:rPr>
                <w:sz w:val="20"/>
                <w:szCs w:val="20"/>
                <w:lang w:val="el"/>
              </w:rPr>
              <w:t xml:space="preserve">την έκταση των </w:t>
            </w:r>
            <w:r>
              <w:rPr>
                <w:sz w:val="20"/>
                <w:szCs w:val="20"/>
                <w:lang w:val="el"/>
              </w:rPr>
              <w:t xml:space="preserve">αντιπλημμυρικών έργων μη γειτνιαζόντων με υδάτινο περιβάλλον, </w:t>
            </w:r>
            <w:r w:rsidRPr="006A5866">
              <w:rPr>
                <w:sz w:val="20"/>
                <w:szCs w:val="20"/>
                <w:lang w:val="el"/>
              </w:rPr>
              <w:t>στη βάση των αντίστοιχων τεχνικών μελετών</w:t>
            </w:r>
            <w:r w:rsidRPr="009034B9">
              <w:rPr>
                <w:sz w:val="20"/>
                <w:szCs w:val="20"/>
                <w:lang w:val="el"/>
              </w:rPr>
              <w:t>.</w:t>
            </w:r>
          </w:p>
        </w:tc>
      </w:tr>
    </w:tbl>
    <w:p w14:paraId="6733AA7B" w14:textId="77777777" w:rsidR="00457748" w:rsidRDefault="00457748"/>
    <w:sectPr w:rsidR="004577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748"/>
    <w:rsid w:val="00457748"/>
    <w:rsid w:val="0077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0D28"/>
  <w15:chartTrackingRefBased/>
  <w15:docId w15:val="{6B2C2F6E-7894-49AE-877E-8CD71705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748"/>
    <w:pPr>
      <w:spacing w:line="259" w:lineRule="auto"/>
      <w:jc w:val="both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4577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77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77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77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4577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577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577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577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77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577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577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4577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5774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5774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5774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5774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5774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577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577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57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577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57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577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5774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5774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5774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577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5774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57748"/>
    <w:rPr>
      <w:b/>
      <w:bCs/>
      <w:smallCaps/>
      <w:color w:val="0F4761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45774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1"/>
    <w:uiPriority w:val="46"/>
    <w:rsid w:val="0045774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638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2</cp:revision>
  <dcterms:created xsi:type="dcterms:W3CDTF">2024-04-19T12:09:00Z</dcterms:created>
  <dcterms:modified xsi:type="dcterms:W3CDTF">2024-04-22T11:02:00Z</dcterms:modified>
</cp:coreProperties>
</file>